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 Prime Company Compliance, Level 9</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505 Little Collins Street</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+ 61 3 9826 0399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eight ordinary shares, no par value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130" w:lineRule="exact"/>
        <w:rPr>
          <w:rFonts w:ascii="MS PGothic" w:cs="MS PGothic" w:eastAsia="MS PGothic" w:hAnsi="MS PGothic"/>
          <w:sz w:val="18"/>
          <w:szCs w:val="18"/>
          <w:color w:val="auto"/>
        </w:rPr>
      </w:pPr>
    </w:p>
    <w:p>
      <w:pPr>
        <w:ind w:left="424" w:right="720"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67" w:lineRule="exact"/>
        <w:rPr>
          <w:sz w:val="24"/>
          <w:szCs w:val="24"/>
          <w:color w:val="auto"/>
        </w:rPr>
      </w:pPr>
    </w:p>
    <w:p>
      <w:pPr>
        <w:ind w:left="424" w:right="64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As of the date hereof, the Issuer does not have an audit committee that meets the audit committee composition requirements set forth in Nasdaq Listing Rule 5605(c)(2).</w:t>
      </w:r>
    </w:p>
    <w:p>
      <w:pPr>
        <w:spacing w:after="0" w:line="135"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Opthea Limited certifies that it has reasonable grounds to believe that it meets all of the requirements for filing the Form 25 and has caused this notification to be signed on its behalf by the undersigned duly authorized person.</w:t>
      </w:r>
    </w:p>
    <w:p>
      <w:pPr>
        <w:spacing w:after="0" w:line="185" w:lineRule="exact"/>
        <w:rPr>
          <w:sz w:val="24"/>
          <w:szCs w:val="24"/>
          <w:color w:val="auto"/>
        </w:rPr>
      </w:pPr>
    </w:p>
    <w:tbl>
      <w:tblPr>
        <w:tblLayout w:type="fixed"/>
        <w:tblInd w:w="4"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Opthea Limited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Levin</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Levin</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37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r>
      <w:tr>
        <w:trPr>
          <w:trHeight w:val="48"/>
        </w:trPr>
        <w:tc>
          <w:tcPr>
            <w:tcW w:w="370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4"/>
      </w:cols>
      <w:pgMar w:left="436" w:top="3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2025-11-10T07:52:50Z</dcterms:created>
  <dcterms:modified xsi:type="dcterms:W3CDTF">2025-11-10T07:52:50Z</dcterms:modified>
</cp:coreProperties>
</file>