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320" w:right="39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175895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Chapel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Yarra, Victoria, 3141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159385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left="320" w:right="37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1461770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34" w:right="1440" w:bottom="1440" w:gutter="0" w:footer="0" w:header="0"/>
        </w:sectPr>
      </w:pPr>
    </w:p>
    <w:bookmarkStart w:id="1" w:name="page2"/>
    <w:bookmarkEnd w:id="1"/>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b w:val="1"/>
          <w:bCs w:val="1"/>
          <w:u w:val="single" w:color="auto"/>
          <w:color w:val="0000FF"/>
        </w:rPr>
        <w:t>Press Release - Appointment of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2" w:name="page3"/>
    <w:bookmarkEnd w:id="2"/>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Jeremy Levin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10/27/2025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981"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20240" cy="960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ASX, Nasdaq and Media Release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27 October 2025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Appointment of Company Secretary and CFO</w:t>
      </w:r>
    </w:p>
    <w:p>
      <w:pPr>
        <w:spacing w:after="0" w:line="200" w:lineRule="exact"/>
        <w:rPr>
          <w:sz w:val="20"/>
          <w:szCs w:val="20"/>
          <w:color w:val="auto"/>
        </w:rPr>
      </w:pPr>
    </w:p>
    <w:p>
      <w:pPr>
        <w:spacing w:after="0" w:line="350"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b w:val="1"/>
          <w:bCs w:val="1"/>
          <w:color w:val="auto"/>
        </w:rPr>
        <w:t>Melbourne, Australia Monday, 27 October 2025, and Princeton, N.J., Sunday, 26 October 2025</w:t>
      </w:r>
      <w:r>
        <w:rPr>
          <w:rFonts w:ascii="Arial" w:cs="Arial" w:eastAsia="Arial" w:hAnsi="Arial"/>
          <w:sz w:val="19"/>
          <w:szCs w:val="19"/>
          <w:color w:val="auto"/>
        </w:rPr>
        <w:t>-- Opthea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(ASX/NASDAQ: OPT, “Opthea”, the “Company”), advises that Mr Hamish George and Ms Stephanie Vipond of Bio101 Financial Advisory Ltd (Bio 101) assume the role of Joint Company Secretary of Opthea from Ms Karen Adams, effective today.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Opthea advises that Mr George will also assume the role of Chief Financial Officer, effective today.</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For the purposes of Listing Rule 12.6, Mr George and Ms Vipond are responsible for communication between the Company and ASX.</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Authorized for release to by the Opthea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This ASX announcement contains certain forward-looking statements, including within the meaning of the US Private Securities Litigation Reform Act of 1995. The words “expect”, “believe”, “should”, “could”, “may”, “will”, “plan” and other similar expressions are intended to identify forward-looking statements. Forward-looking statements in this ASX announcement include statements regarding changes in management and the Board of Directors of the Company and the timing of such changes and Opthea’s ability to continue as a going concern. Forward-looking statements, opinions and estimates provided in this ASX announcement are based on assumptions and contingencies which are subject to change without notice, as are statements about market and industry trends, which are based on interpretations of current conditions. Forward-looking statements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the Company's ability to identify future product candidates, future capital requirements, the development, testing, production, marketing and sale of drug treatments, regulatory risk and potential loss of regulatory approvals, clinical research organization and labor costs, intellectual property protections, continued compliance with listing requirements and other factors that are of a general nature which may affect the future operating and financial performance of the Company including risk factors set forth in Opthea’s Annual Report on Form 20-F filed with the US Securities and Exchange Commission (the “SEC”) on September 15, 2025, and other future filings with the SEC. Actual results, performance or achievements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ASX announcement to reflect any change in expectations in relation to any forward-looking statements or any change in events, conditions or circumstances on which any such statement is based,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for release to ASX by The Board of Directors</w:t>
      </w:r>
    </w:p>
    <w:p>
      <w:pPr>
        <w:sectPr>
          <w:pgSz w:w="11900" w:h="16838" w:orient="portrait"/>
          <w:cols w:equalWidth="0" w:num="1">
            <w:col w:w="10680"/>
          </w:cols>
          <w:pgMar w:left="320" w:top="1440" w:right="899" w:bottom="1440" w:gutter="0" w:footer="0" w:header="0"/>
        </w:sectPr>
      </w:pP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Investor Inquiries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540" w:val="left"/>
          <w:tab w:leader="none" w:pos="1000" w:val="left"/>
          <w:tab w:leader="none" w:pos="1640" w:val="left"/>
          <w:tab w:leader="none" w:pos="2600" w:val="left"/>
          <w:tab w:leader="none" w:pos="2940" w:val="left"/>
          <w:tab w:leader="none" w:pos="3740" w:val="left"/>
        </w:tabs>
        <w:rPr>
          <w:sz w:val="20"/>
          <w:szCs w:val="20"/>
          <w:color w:val="auto"/>
        </w:rPr>
      </w:pPr>
      <w:r>
        <w:rPr>
          <w:rFonts w:ascii="Arial" w:cs="Arial" w:eastAsia="Arial" w:hAnsi="Arial"/>
          <w:sz w:val="18"/>
          <w:szCs w:val="18"/>
          <w:b w:val="1"/>
          <w:bCs w:val="1"/>
          <w:i w:val="1"/>
          <w:iCs w:val="1"/>
          <w:color w:val="auto"/>
        </w:rPr>
        <w:t>Join</w:t>
        <w:tab/>
        <w:t>our</w:t>
        <w:tab/>
        <w:t>email</w:t>
        <w:tab/>
        <w:t>database</w:t>
        <w:tab/>
        <w:t>to</w:t>
        <w:tab/>
        <w:t>receive</w:t>
      </w:r>
      <w:r>
        <w:rPr>
          <w:sz w:val="20"/>
          <w:szCs w:val="20"/>
          <w:color w:val="auto"/>
        </w:rPr>
        <w:tab/>
      </w:r>
      <w:r>
        <w:rPr>
          <w:rFonts w:ascii="Arial" w:cs="Arial" w:eastAsia="Arial" w:hAnsi="Arial"/>
          <w:sz w:val="17"/>
          <w:szCs w:val="17"/>
          <w:b w:val="1"/>
          <w:bCs w:val="1"/>
          <w:i w:val="1"/>
          <w:iCs w:val="1"/>
          <w:color w:val="auto"/>
        </w:rPr>
        <w:t>program</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updates:</w:t>
      </w:r>
    </w:p>
    <w:p>
      <w:pPr>
        <w:spacing w:after="0" w:line="99" w:lineRule="exact"/>
        <w:rPr>
          <w:sz w:val="20"/>
          <w:szCs w:val="20"/>
          <w:color w:val="auto"/>
        </w:rPr>
      </w:pPr>
    </w:p>
    <w:p>
      <w:pPr>
        <w:sectPr>
          <w:pgSz w:w="11900" w:h="16838" w:orient="portrait"/>
          <w:cols w:equalWidth="0" w:num="2">
            <w:col w:w="5480" w:space="720"/>
            <w:col w:w="4480"/>
          </w:cols>
          <w:pgMar w:left="320" w:top="1440" w:right="89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Email: info@opthea.com</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Web: www.opthea.com</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Email: info@opthea.com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Web: www.opthea.com</w:t>
      </w:r>
    </w:p>
    <w:p>
      <w:pPr>
        <w:spacing w:after="0" w:line="200" w:lineRule="exact"/>
        <w:rPr>
          <w:sz w:val="20"/>
          <w:szCs w:val="20"/>
          <w:color w:val="auto"/>
        </w:rPr>
      </w:pPr>
    </w:p>
    <w:p>
      <w:pPr>
        <w:sectPr>
          <w:pgSz w:w="11900" w:h="16838" w:orient="portrait"/>
          <w:cols w:equalWidth="0" w:num="2">
            <w:col w:w="5480" w:space="720"/>
            <w:col w:w="4480"/>
          </w:cols>
          <w:pgMar w:left="320" w:top="144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Source: Opthea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40" w:right="899" w:bottom="144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2025-10-27T05:21:17Z</dcterms:created>
  <dcterms:modified xsi:type="dcterms:W3CDTF">2025-10-27T05:21:17Z</dcterms:modified>
</cp:coreProperties>
</file>